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81" w:rsidRDefault="00B53F8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3F81" w:rsidRDefault="00B53F8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53F8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3F81" w:rsidRDefault="00B53F81">
            <w:pPr>
              <w:pStyle w:val="ConsPlusNormal"/>
            </w:pPr>
            <w:r>
              <w:t>23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3F81" w:rsidRDefault="00B53F81">
            <w:pPr>
              <w:pStyle w:val="ConsPlusNormal"/>
              <w:jc w:val="right"/>
            </w:pPr>
            <w:r>
              <w:t>N 113-ФЗ</w:t>
            </w:r>
          </w:p>
        </w:tc>
      </w:tr>
    </w:tbl>
    <w:p w:rsidR="00B53F81" w:rsidRDefault="00B53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Title"/>
        <w:jc w:val="center"/>
      </w:pPr>
      <w:r>
        <w:t>РОССИЙСКАЯ ФЕДЕРАЦИЯ</w:t>
      </w:r>
    </w:p>
    <w:p w:rsidR="00B53F81" w:rsidRDefault="00B53F81">
      <w:pPr>
        <w:pStyle w:val="ConsPlusTitle"/>
        <w:jc w:val="both"/>
      </w:pPr>
    </w:p>
    <w:p w:rsidR="00B53F81" w:rsidRDefault="00B53F81">
      <w:pPr>
        <w:pStyle w:val="ConsPlusTitle"/>
        <w:jc w:val="center"/>
      </w:pPr>
      <w:r>
        <w:t>ФЕДЕРАЛЬНЫЙ ЗАКОН</w:t>
      </w:r>
    </w:p>
    <w:p w:rsidR="00B53F81" w:rsidRDefault="00B53F81">
      <w:pPr>
        <w:pStyle w:val="ConsPlusTitle"/>
        <w:jc w:val="both"/>
      </w:pPr>
    </w:p>
    <w:p w:rsidR="00B53F81" w:rsidRDefault="00B53F81">
      <w:pPr>
        <w:pStyle w:val="ConsPlusTitle"/>
        <w:jc w:val="center"/>
      </w:pPr>
      <w:r>
        <w:t>О ВНЕСЕНИИ ИЗМЕНЕНИЙ</w:t>
      </w:r>
    </w:p>
    <w:p w:rsidR="00B53F81" w:rsidRDefault="00B53F81">
      <w:pPr>
        <w:pStyle w:val="ConsPlusTitle"/>
        <w:jc w:val="center"/>
      </w:pPr>
      <w:r>
        <w:t>В СТАТЬИ 255 И 270 ЧАСТИ ВТОРОЙ НАЛОГОВОГО КОДЕКСА</w:t>
      </w:r>
    </w:p>
    <w:p w:rsidR="00B53F81" w:rsidRDefault="00B53F81">
      <w:pPr>
        <w:pStyle w:val="ConsPlusTitle"/>
        <w:jc w:val="center"/>
      </w:pPr>
      <w:r>
        <w:t>РОССИЙСКОЙ ФЕДЕРАЦИИ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jc w:val="right"/>
      </w:pPr>
      <w:r>
        <w:t>Принят</w:t>
      </w:r>
    </w:p>
    <w:p w:rsidR="00B53F81" w:rsidRDefault="00B53F81">
      <w:pPr>
        <w:pStyle w:val="ConsPlusNormal"/>
        <w:jc w:val="right"/>
      </w:pPr>
      <w:r>
        <w:t>Государственной Думой</w:t>
      </w:r>
    </w:p>
    <w:p w:rsidR="00B53F81" w:rsidRDefault="00B53F81">
      <w:pPr>
        <w:pStyle w:val="ConsPlusNormal"/>
        <w:jc w:val="right"/>
      </w:pPr>
      <w:r>
        <w:t>12 апреля 2018 года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jc w:val="right"/>
      </w:pPr>
      <w:r>
        <w:t>Одобрен</w:t>
      </w:r>
    </w:p>
    <w:p w:rsidR="00B53F81" w:rsidRDefault="00B53F81">
      <w:pPr>
        <w:pStyle w:val="ConsPlusNormal"/>
        <w:jc w:val="right"/>
      </w:pPr>
      <w:r>
        <w:t>Советом Федерации</w:t>
      </w:r>
    </w:p>
    <w:p w:rsidR="00B53F81" w:rsidRDefault="00B53F81">
      <w:pPr>
        <w:pStyle w:val="ConsPlusNormal"/>
        <w:jc w:val="right"/>
      </w:pPr>
      <w:r>
        <w:t>18 апреля 2018 года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Title"/>
        <w:ind w:firstLine="540"/>
        <w:jc w:val="both"/>
        <w:outlineLvl w:val="0"/>
      </w:pPr>
      <w:r>
        <w:t>Статья 1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33, ст. 3413; 2002, N 22, ст. 2026; N 30, ст. 3033; 2003, N 28, ст. 2886; 2004, N 35, ст. 3607; 2005, N 1, ст. 30; N 24, ст. 2312; N 52, ст. 5581; 2006, N 31, ст. 3436; 2007, N 22, ст. 2563; N 31, ст. 4013; N 49, ст. 6071; 2008, N 18, ст. 1942; N 30, ст. 3614; N 49, ст. 5723; N 52, ст. 6237; 2009, N 29, ст. 3598; N 30, ст. 3739; N 51, ст. 6155; 2010, N 19, ст. 2291; N 31, ст. 4198; N 32, ст. 4298; N 49, ст. 6409; 2011, N 1, ст. 37; N 24, ст. 3357; N 45, ст. 6335; N 47, ст. 6611; N 49, ст. 7014, 7037; 2012, N 19, ст. 2281; N 49, ст. 6751; 2013, N 23, ст. 2866; N 30, ст. 4081; 2014, N 8, ст. 737; N 16, ст. 1835; N 30, ст. 4220; N 48, ст. 6647, 6663; 2015, N 1, ст. 13, 16; N 10, ст. 1402; N 27, ст. 3968; N 48, ст. 6692; 2016, N 1, ст. 18; N 18, ст. 2504; N 27, ст. 4182; N 49, ст. 6844; 2017, N 49, ст. 7307, 7316) следующие изменения: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второй статьи 255</w:t>
        </w:r>
      </w:hyperlink>
      <w:r>
        <w:t>: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абзац девятый пункта 16</w:t>
        </w:r>
      </w:hyperlink>
      <w:r>
        <w:t xml:space="preserve"> изложить в следующей редакции: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>"Взносы по договорам добровольного личного страхования, предусматривающим оплату страховщиками медицинских расходов застрахованных работников, расходы работодателей по договорам на оказание медицинских услуг, заключенным в пользу работников на срок не менее одного года с медицинскими организациями, имеющими соответствующие лицензии на осуществление медицинской деятельности, выданные в соответствии с законодательством Российской Федерации, и расходы, указанные в пункте 24.2 настоящей части, в совокупности не могут превышать 6 процентов от суммы расходов на оплату труда.";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24.2 следующего содержания: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"24.2) расходы на оплату услуг по организации туризма, санаторно-курортного лечения и отдыха на территории Российской Федерации в соответствии с договором о реализации туристского продукта, оказанных работникам, их супругам, родителям, детям (в том числе усыновленным) в возрасте до 18 лет, подопечным в возрасте до 18 лет, а также детям (в том числе усыновленным) в возрасте до 24 лет, обучающимся по очной форме обучения в образовательных организациях, бывшим подопечным (после прекращения опеки или попечительства) в возрасте до </w:t>
      </w:r>
      <w:r>
        <w:lastRenderedPageBreak/>
        <w:t>24 лет, обучающимся по очной форме обучения в образовательных организациях.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В целях настоящего пункта услугами по организации туризма, санаторно-курортного лечения и отдыха на территории Российской Федерации признаются следующие услуги, оказанные по договору о реализации туристского продукта, заключенному работодателем с туроператором или </w:t>
      </w:r>
      <w:proofErr w:type="spellStart"/>
      <w:r>
        <w:t>турагентом</w:t>
      </w:r>
      <w:proofErr w:type="spellEnd"/>
      <w:r>
        <w:t>: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>услуги по перевозке туриста по территории Российской Федерации воздушным, водным, автомобильным и (или) железнодорожным транспортом до пункта назначения и обратно либо по иному согласованному в договоре о реализации туристского продукта маршруту;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>услуги проживания туриста в гостинице (гостиницах) или ином (иных) средстве (средствах) размещения, объекте санаторно-курортного лечения и отдыха, расположенных на территории Российской Федерации, включая услуги питания туриста, если услуги питания предоставляются в комплексе с услугами проживания в гостинице или ином средстве размещения, объекте санаторно-курортного лечения и отдыха;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>услуги по санаторно-курортному обслуживанию;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>экскурсионные услуги.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>Указанные в настоящем пункте расходы учитываются в размере фактически произведенных расходов на услуги по организации туризма, санаторно-курортного лечения и отдыха на территории Российской Федерации, но не более 50 000 рублей в совокупности за налоговый период на каждого из граждан, перечисленных в абзаце первом настоящего пункта, и при условии выполнения требования, установленного абзацем девятым пункта 16 настоящей части;";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29 статьи 270</w:t>
        </w:r>
      </w:hyperlink>
      <w:r>
        <w:t xml:space="preserve"> после слова "путешествий" дополнить словами ", если иное не предусмотрено пунктом 24.2 части второй статьи 255 настоящего Кодекса".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Title"/>
        <w:ind w:firstLine="540"/>
        <w:jc w:val="both"/>
        <w:outlineLvl w:val="0"/>
      </w:pPr>
      <w:r>
        <w:t>Статья 2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одного месяца со дня его официального опубликования, но не ранее 1-го числа очередного </w:t>
      </w:r>
      <w:hyperlink r:id="rId10" w:history="1">
        <w:r>
          <w:rPr>
            <w:color w:val="0000FF"/>
          </w:rPr>
          <w:t>налогового периода</w:t>
        </w:r>
      </w:hyperlink>
      <w:r>
        <w:t xml:space="preserve"> по налогу на прибыль организаций.</w:t>
      </w:r>
    </w:p>
    <w:p w:rsidR="00B53F81" w:rsidRDefault="00B53F81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1" w:history="1">
        <w:r>
          <w:rPr>
            <w:color w:val="0000FF"/>
          </w:rPr>
          <w:t>статей 255</w:t>
        </w:r>
      </w:hyperlink>
      <w:r>
        <w:t xml:space="preserve"> и </w:t>
      </w:r>
      <w:hyperlink r:id="rId12" w:history="1">
        <w:r>
          <w:rPr>
            <w:color w:val="0000FF"/>
          </w:rPr>
          <w:t>270</w:t>
        </w:r>
      </w:hyperlink>
      <w:r>
        <w:t xml:space="preserve"> Налогового кодекса Российской Федерации (в редакции настоящего Федерального закона) применяются к договорам о реализации туристского продукта, заключенным начиная с 1 января 2019 года.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jc w:val="right"/>
      </w:pPr>
      <w:r>
        <w:t>Президент</w:t>
      </w:r>
    </w:p>
    <w:p w:rsidR="00B53F81" w:rsidRDefault="00B53F81">
      <w:pPr>
        <w:pStyle w:val="ConsPlusNormal"/>
        <w:jc w:val="right"/>
      </w:pPr>
      <w:r>
        <w:t>Российской Федерации</w:t>
      </w:r>
    </w:p>
    <w:p w:rsidR="00B53F81" w:rsidRDefault="00B53F81">
      <w:pPr>
        <w:pStyle w:val="ConsPlusNormal"/>
        <w:jc w:val="right"/>
      </w:pPr>
      <w:r>
        <w:t>В.ПУТИН</w:t>
      </w:r>
    </w:p>
    <w:p w:rsidR="00B53F81" w:rsidRDefault="00B53F81">
      <w:pPr>
        <w:pStyle w:val="ConsPlusNormal"/>
      </w:pPr>
      <w:r>
        <w:t>Москва, Кремль</w:t>
      </w:r>
    </w:p>
    <w:p w:rsidR="00B53F81" w:rsidRDefault="00B53F81">
      <w:pPr>
        <w:pStyle w:val="ConsPlusNormal"/>
        <w:spacing w:before="220"/>
      </w:pPr>
      <w:r>
        <w:t>23 апреля 2018 года</w:t>
      </w:r>
    </w:p>
    <w:p w:rsidR="00B53F81" w:rsidRDefault="00B53F81">
      <w:pPr>
        <w:pStyle w:val="ConsPlusNormal"/>
        <w:spacing w:before="220"/>
      </w:pPr>
      <w:r>
        <w:t>N 113-ФЗ</w:t>
      </w: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jc w:val="both"/>
      </w:pPr>
    </w:p>
    <w:p w:rsidR="00B53F81" w:rsidRDefault="00B53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D84" w:rsidRDefault="00D94D84"/>
    <w:sectPr w:rsidR="00D94D84" w:rsidSect="00E4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81"/>
    <w:rsid w:val="002A2BF9"/>
    <w:rsid w:val="006E646A"/>
    <w:rsid w:val="00A531E4"/>
    <w:rsid w:val="00B53F81"/>
    <w:rsid w:val="00D9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F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0F67CD909CF1DA54667436CF48B19FEBB8C53A54A0943FAD6EF279E036E5F7027184E232D612BO9FC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E0F67CD909CF1DA54667436CF48B19FEBB8C53A54A0943FAD6EF279E036E5F7027184B2727O6F2P" TargetMode="External"/><Relationship Id="rId12" Type="http://schemas.openxmlformats.org/officeDocument/2006/relationships/hyperlink" Target="consultantplus://offline/ref=14E0F67CD909CF1DA54667436CF48B19FEBB8C5DAC4C0943FAD6EF279E036E5F7027184E232D622CO9F2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0F67CD909CF1DA54667436CF48B19FEBB8C53A54A0943FAD6EF279E036E5F7027184E232D612BO9FCP" TargetMode="External"/><Relationship Id="rId11" Type="http://schemas.openxmlformats.org/officeDocument/2006/relationships/hyperlink" Target="consultantplus://offline/ref=14E0F67CD909CF1DA54667436CF48B19FEBB8C5DAC4C0943FAD6EF279E036E5F7027184E232D612BO9FEP" TargetMode="External"/><Relationship Id="rId5" Type="http://schemas.openxmlformats.org/officeDocument/2006/relationships/hyperlink" Target="consultantplus://offline/ref=14E0F67CD909CF1DA54667436CF48B19FEBB8C53A54A0943FAD6EF279EO0F3P" TargetMode="External"/><Relationship Id="rId10" Type="http://schemas.openxmlformats.org/officeDocument/2006/relationships/hyperlink" Target="consultantplus://offline/ref=14E0F67CD909CF1DA54667436CF48B19FEBB8C53A54A0943FAD6EF279E036E5F7027184E232D672DO9FB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E0F67CD909CF1DA54667436CF48B19FEBB8C53A54A0943FAD6EF279E036E5F7027184E232D6223O9F2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Репикова Галина Викторовна</dc:creator>
  <cp:lastModifiedBy>aaf</cp:lastModifiedBy>
  <cp:revision>2</cp:revision>
  <dcterms:created xsi:type="dcterms:W3CDTF">2018-06-01T07:09:00Z</dcterms:created>
  <dcterms:modified xsi:type="dcterms:W3CDTF">2018-06-01T07:09:00Z</dcterms:modified>
</cp:coreProperties>
</file>